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191" w:rsidRPr="00F20FA9" w:rsidRDefault="0090046D" w:rsidP="0090046D">
      <w:pPr>
        <w:pStyle w:val="NoSpacing"/>
        <w:tabs>
          <w:tab w:val="left" w:pos="528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863B86" w:rsidRPr="00F20FA9" w:rsidRDefault="00863B86" w:rsidP="00863B86">
      <w:pPr>
        <w:pStyle w:val="NoSpacing"/>
        <w:jc w:val="center"/>
        <w:rPr>
          <w:sz w:val="24"/>
          <w:szCs w:val="24"/>
        </w:rPr>
      </w:pPr>
      <w:r w:rsidRPr="00F20FA9">
        <w:rPr>
          <w:sz w:val="24"/>
          <w:szCs w:val="24"/>
        </w:rPr>
        <w:t>History 3457/Children’s Studies 3120</w:t>
      </w:r>
    </w:p>
    <w:p w:rsidR="00863B86" w:rsidRPr="00F20FA9" w:rsidRDefault="00863B86" w:rsidP="00863B86">
      <w:pPr>
        <w:pStyle w:val="NoSpacing"/>
        <w:jc w:val="center"/>
        <w:rPr>
          <w:rFonts w:eastAsia="Times New Roman" w:cs="Times New Roman"/>
          <w:color w:val="222222"/>
          <w:sz w:val="24"/>
          <w:szCs w:val="24"/>
        </w:rPr>
      </w:pPr>
      <w:r w:rsidRPr="00F20FA9">
        <w:rPr>
          <w:rFonts w:eastAsia="Times New Roman" w:cs="Times New Roman"/>
          <w:color w:val="222222"/>
          <w:sz w:val="24"/>
          <w:szCs w:val="24"/>
        </w:rPr>
        <w:t>Higher Education, Public Schools, and the Path to </w:t>
      </w:r>
      <w:r w:rsidRPr="0090046D">
        <w:rPr>
          <w:rFonts w:eastAsia="Times New Roman" w:cs="Times New Roman"/>
          <w:i/>
          <w:color w:val="222222"/>
          <w:sz w:val="24"/>
          <w:szCs w:val="24"/>
        </w:rPr>
        <w:t>Brown</w:t>
      </w:r>
    </w:p>
    <w:p w:rsidR="00863B86" w:rsidRPr="00F20FA9" w:rsidRDefault="00863B86" w:rsidP="00863B86">
      <w:pPr>
        <w:pStyle w:val="NoSpacing"/>
        <w:jc w:val="center"/>
        <w:rPr>
          <w:sz w:val="24"/>
          <w:szCs w:val="24"/>
        </w:rPr>
      </w:pPr>
      <w:r w:rsidRPr="00F20FA9">
        <w:rPr>
          <w:sz w:val="24"/>
          <w:szCs w:val="24"/>
        </w:rPr>
        <w:t>14 February 2013</w:t>
      </w:r>
    </w:p>
    <w:p w:rsidR="002D7191" w:rsidRPr="00F20FA9" w:rsidRDefault="002D7191" w:rsidP="00863B86">
      <w:pPr>
        <w:pStyle w:val="NoSpacing"/>
        <w:rPr>
          <w:sz w:val="24"/>
          <w:szCs w:val="24"/>
        </w:rPr>
      </w:pPr>
      <w:bookmarkStart w:id="0" w:name="_GoBack"/>
      <w:bookmarkEnd w:id="0"/>
    </w:p>
    <w:p w:rsidR="00863B86" w:rsidRPr="00F20FA9" w:rsidRDefault="00863B86" w:rsidP="00863B86">
      <w:pPr>
        <w:pStyle w:val="NoSpacing"/>
        <w:rPr>
          <w:sz w:val="24"/>
          <w:szCs w:val="24"/>
        </w:rPr>
      </w:pPr>
    </w:p>
    <w:p w:rsidR="00863B86" w:rsidRPr="00F20FA9" w:rsidRDefault="00863B86" w:rsidP="00863B86">
      <w:pPr>
        <w:pStyle w:val="NoSpacing"/>
        <w:rPr>
          <w:sz w:val="24"/>
          <w:szCs w:val="24"/>
        </w:rPr>
      </w:pPr>
    </w:p>
    <w:p w:rsidR="002D7191" w:rsidRPr="00F20FA9" w:rsidRDefault="00CD1224" w:rsidP="00863B86">
      <w:pPr>
        <w:pStyle w:val="NoSpacing"/>
        <w:rPr>
          <w:sz w:val="24"/>
          <w:szCs w:val="24"/>
        </w:rPr>
      </w:pPr>
      <w:r w:rsidRPr="00F20FA9">
        <w:rPr>
          <w:sz w:val="24"/>
          <w:szCs w:val="24"/>
        </w:rPr>
        <w:t>I</w:t>
      </w:r>
      <w:r w:rsidR="00813823" w:rsidRPr="00F20FA9">
        <w:rPr>
          <w:sz w:val="24"/>
          <w:szCs w:val="24"/>
        </w:rPr>
        <w:t>. Laying the Foundations</w:t>
      </w:r>
    </w:p>
    <w:p w:rsidR="002D7191" w:rsidRPr="00F20FA9" w:rsidRDefault="00813823" w:rsidP="00863B86">
      <w:pPr>
        <w:pStyle w:val="NoSpacing"/>
        <w:rPr>
          <w:sz w:val="24"/>
          <w:szCs w:val="24"/>
        </w:rPr>
      </w:pPr>
      <w:r w:rsidRPr="00F20FA9">
        <w:rPr>
          <w:sz w:val="24"/>
          <w:szCs w:val="24"/>
        </w:rPr>
        <w:tab/>
        <w:t>1</w:t>
      </w:r>
      <w:r w:rsidR="002D7191" w:rsidRPr="00F20FA9">
        <w:rPr>
          <w:sz w:val="24"/>
          <w:szCs w:val="24"/>
        </w:rPr>
        <w:t>. World War II (appeasement &amp; FDR inadequacy; outbreak of war &amp; initial US neutrality; FDR re-election &amp; increasing U.S. involvement; Pearl Harbor and mobilization of U.S. effort</w:t>
      </w:r>
      <w:r w:rsidR="002D7191" w:rsidRPr="00F20FA9">
        <w:rPr>
          <w:sz w:val="24"/>
          <w:szCs w:val="24"/>
        </w:rPr>
        <w:sym w:font="Wingdings" w:char="F0E0"/>
      </w:r>
      <w:r w:rsidR="002D7191" w:rsidRPr="00F20FA9">
        <w:rPr>
          <w:sz w:val="24"/>
          <w:szCs w:val="24"/>
        </w:rPr>
        <w:t>dramatic expansion of WWI experience; federal spending; massive U.S. military commitment; effects of the draft—race relations, expanding cultural and geographic horizons)</w:t>
      </w:r>
    </w:p>
    <w:p w:rsidR="009C3D54" w:rsidRPr="00F20FA9" w:rsidRDefault="00CD1224" w:rsidP="00CD1224">
      <w:pPr>
        <w:pStyle w:val="NoSpacing"/>
        <w:ind w:firstLine="720"/>
        <w:rPr>
          <w:sz w:val="24"/>
          <w:szCs w:val="24"/>
        </w:rPr>
      </w:pPr>
      <w:r w:rsidRPr="00F20FA9">
        <w:rPr>
          <w:sz w:val="24"/>
          <w:szCs w:val="24"/>
        </w:rPr>
        <w:t>2</w:t>
      </w:r>
      <w:r w:rsidR="00F856C9" w:rsidRPr="00F20FA9">
        <w:rPr>
          <w:sz w:val="24"/>
          <w:szCs w:val="24"/>
        </w:rPr>
        <w:t xml:space="preserve">. </w:t>
      </w:r>
      <w:r w:rsidR="009C3D54" w:rsidRPr="00F20FA9">
        <w:rPr>
          <w:sz w:val="24"/>
          <w:szCs w:val="24"/>
        </w:rPr>
        <w:t xml:space="preserve">The </w:t>
      </w:r>
      <w:r w:rsidR="00ED6394" w:rsidRPr="00F20FA9">
        <w:rPr>
          <w:sz w:val="24"/>
          <w:szCs w:val="24"/>
        </w:rPr>
        <w:t xml:space="preserve">NAACP and “Separate-but-Equal” </w:t>
      </w:r>
      <w:r w:rsidR="009C3D54" w:rsidRPr="00F20FA9">
        <w:rPr>
          <w:sz w:val="24"/>
          <w:szCs w:val="24"/>
        </w:rPr>
        <w:t>(legacy of Washington/</w:t>
      </w:r>
      <w:proofErr w:type="spellStart"/>
      <w:r w:rsidR="009C3D54" w:rsidRPr="00F20FA9">
        <w:rPr>
          <w:sz w:val="24"/>
          <w:szCs w:val="24"/>
        </w:rPr>
        <w:t>DuBois</w:t>
      </w:r>
      <w:proofErr w:type="spellEnd"/>
      <w:r w:rsidR="009C3D54" w:rsidRPr="00F20FA9">
        <w:rPr>
          <w:sz w:val="24"/>
          <w:szCs w:val="24"/>
        </w:rPr>
        <w:t xml:space="preserve"> dispute; </w:t>
      </w:r>
      <w:r w:rsidR="000137F4" w:rsidRPr="00F20FA9">
        <w:rPr>
          <w:sz w:val="24"/>
          <w:szCs w:val="24"/>
        </w:rPr>
        <w:t xml:space="preserve">failure of politics: anti-lynching legislation and the power of the Southern filibuster; </w:t>
      </w:r>
      <w:r w:rsidR="009C3D54" w:rsidRPr="00F20FA9">
        <w:rPr>
          <w:sz w:val="24"/>
          <w:szCs w:val="24"/>
        </w:rPr>
        <w:t xml:space="preserve">Huston and origins of </w:t>
      </w:r>
      <w:r w:rsidRPr="00F20FA9">
        <w:rPr>
          <w:sz w:val="24"/>
          <w:szCs w:val="24"/>
        </w:rPr>
        <w:t xml:space="preserve">the Legal Defense Fund; dealing with legacy of </w:t>
      </w:r>
      <w:proofErr w:type="spellStart"/>
      <w:r w:rsidRPr="00F20FA9">
        <w:rPr>
          <w:i/>
          <w:sz w:val="24"/>
          <w:szCs w:val="24"/>
        </w:rPr>
        <w:t>Plessy</w:t>
      </w:r>
      <w:proofErr w:type="spellEnd"/>
      <w:r w:rsidR="009C3D54" w:rsidRPr="00F20FA9">
        <w:rPr>
          <w:sz w:val="24"/>
          <w:szCs w:val="24"/>
        </w:rPr>
        <w:t>; challenging separate but equal: education—</w:t>
      </w:r>
      <w:r w:rsidRPr="00F20FA9">
        <w:rPr>
          <w:i/>
          <w:iCs/>
          <w:sz w:val="24"/>
          <w:szCs w:val="24"/>
        </w:rPr>
        <w:t xml:space="preserve">Missouri ex </w:t>
      </w:r>
      <w:proofErr w:type="spellStart"/>
      <w:r w:rsidRPr="00F20FA9">
        <w:rPr>
          <w:i/>
          <w:iCs/>
          <w:sz w:val="24"/>
          <w:szCs w:val="24"/>
        </w:rPr>
        <w:t>rel</w:t>
      </w:r>
      <w:proofErr w:type="spellEnd"/>
      <w:r w:rsidR="009C3D54" w:rsidRPr="00F20FA9">
        <w:rPr>
          <w:i/>
          <w:iCs/>
          <w:sz w:val="24"/>
          <w:szCs w:val="24"/>
        </w:rPr>
        <w:t xml:space="preserve"> Gaines</w:t>
      </w:r>
      <w:r w:rsidRPr="00F20FA9">
        <w:rPr>
          <w:i/>
          <w:iCs/>
          <w:sz w:val="24"/>
          <w:szCs w:val="24"/>
        </w:rPr>
        <w:t xml:space="preserve"> v. Canada </w:t>
      </w:r>
      <w:r w:rsidRPr="00F20FA9">
        <w:rPr>
          <w:iCs/>
          <w:sz w:val="24"/>
          <w:szCs w:val="24"/>
        </w:rPr>
        <w:t>(1938)</w:t>
      </w:r>
      <w:r w:rsidR="009C3D54" w:rsidRPr="00F20FA9">
        <w:rPr>
          <w:sz w:val="24"/>
          <w:szCs w:val="24"/>
        </w:rPr>
        <w:t>; </w:t>
      </w:r>
      <w:proofErr w:type="spellStart"/>
      <w:r w:rsidR="009C3D54" w:rsidRPr="00F20FA9">
        <w:rPr>
          <w:i/>
          <w:iCs/>
          <w:sz w:val="24"/>
          <w:szCs w:val="24"/>
        </w:rPr>
        <w:t>Sweatt</w:t>
      </w:r>
      <w:proofErr w:type="spellEnd"/>
      <w:r w:rsidR="009C3D54" w:rsidRPr="00F20FA9">
        <w:rPr>
          <w:i/>
          <w:iCs/>
          <w:sz w:val="24"/>
          <w:szCs w:val="24"/>
        </w:rPr>
        <w:t xml:space="preserve"> v. Painter</w:t>
      </w:r>
      <w:r w:rsidR="008B58AD" w:rsidRPr="00F20FA9">
        <w:rPr>
          <w:i/>
          <w:iCs/>
          <w:sz w:val="24"/>
          <w:szCs w:val="24"/>
        </w:rPr>
        <w:t xml:space="preserve"> </w:t>
      </w:r>
      <w:r w:rsidR="008B58AD" w:rsidRPr="00F20FA9">
        <w:rPr>
          <w:iCs/>
          <w:sz w:val="24"/>
          <w:szCs w:val="24"/>
        </w:rPr>
        <w:t>(1950)</w:t>
      </w:r>
      <w:r w:rsidR="009C3D54" w:rsidRPr="00F20FA9">
        <w:rPr>
          <w:sz w:val="24"/>
          <w:szCs w:val="24"/>
        </w:rPr>
        <w:t>; </w:t>
      </w:r>
      <w:proofErr w:type="spellStart"/>
      <w:r w:rsidR="009C3D54" w:rsidRPr="00F20FA9">
        <w:rPr>
          <w:i/>
          <w:iCs/>
          <w:sz w:val="24"/>
          <w:szCs w:val="24"/>
        </w:rPr>
        <w:t>McLaurin</w:t>
      </w:r>
      <w:proofErr w:type="spellEnd"/>
      <w:r w:rsidR="009C3D54" w:rsidRPr="00F20FA9">
        <w:rPr>
          <w:i/>
          <w:iCs/>
          <w:sz w:val="24"/>
          <w:szCs w:val="24"/>
        </w:rPr>
        <w:t xml:space="preserve"> v. Oklahoma</w:t>
      </w:r>
      <w:r w:rsidRPr="00F20FA9">
        <w:rPr>
          <w:sz w:val="24"/>
          <w:szCs w:val="24"/>
        </w:rPr>
        <w:t xml:space="preserve"> (1950); part of broader movement against Jim Crow: elections (</w:t>
      </w:r>
      <w:r w:rsidR="009C3D54" w:rsidRPr="00F20FA9">
        <w:rPr>
          <w:i/>
          <w:iCs/>
          <w:sz w:val="24"/>
          <w:szCs w:val="24"/>
        </w:rPr>
        <w:t xml:space="preserve">Smith v. </w:t>
      </w:r>
      <w:proofErr w:type="spellStart"/>
      <w:r w:rsidR="009C3D54" w:rsidRPr="00F20FA9">
        <w:rPr>
          <w:i/>
          <w:iCs/>
          <w:sz w:val="24"/>
          <w:szCs w:val="24"/>
        </w:rPr>
        <w:t>Allwright</w:t>
      </w:r>
      <w:proofErr w:type="spellEnd"/>
      <w:r w:rsidRPr="00F20FA9">
        <w:rPr>
          <w:sz w:val="24"/>
          <w:szCs w:val="24"/>
        </w:rPr>
        <w:t>); housing (</w:t>
      </w:r>
      <w:r w:rsidR="009C3D54" w:rsidRPr="00F20FA9">
        <w:rPr>
          <w:i/>
          <w:iCs/>
          <w:sz w:val="24"/>
          <w:szCs w:val="24"/>
        </w:rPr>
        <w:t>Shelley v. Kramer</w:t>
      </w:r>
      <w:r w:rsidRPr="00F20FA9">
        <w:rPr>
          <w:iCs/>
          <w:sz w:val="24"/>
          <w:szCs w:val="24"/>
        </w:rPr>
        <w:t>)</w:t>
      </w:r>
      <w:r w:rsidR="009C3D54" w:rsidRPr="00F20FA9">
        <w:rPr>
          <w:sz w:val="24"/>
          <w:szCs w:val="24"/>
        </w:rPr>
        <w:t>)</w:t>
      </w:r>
    </w:p>
    <w:p w:rsidR="00A16D34" w:rsidRPr="00F20FA9" w:rsidRDefault="00A16D34" w:rsidP="00863B86">
      <w:pPr>
        <w:pStyle w:val="NoSpacing"/>
        <w:rPr>
          <w:sz w:val="24"/>
          <w:szCs w:val="24"/>
        </w:rPr>
      </w:pPr>
    </w:p>
    <w:p w:rsidR="00813823" w:rsidRPr="00F20FA9" w:rsidRDefault="00813823" w:rsidP="00863B86">
      <w:pPr>
        <w:pStyle w:val="NoSpacing"/>
        <w:rPr>
          <w:sz w:val="24"/>
          <w:szCs w:val="24"/>
        </w:rPr>
      </w:pPr>
      <w:r w:rsidRPr="00F20FA9">
        <w:rPr>
          <w:sz w:val="24"/>
          <w:szCs w:val="24"/>
        </w:rPr>
        <w:t xml:space="preserve">II. </w:t>
      </w:r>
      <w:r w:rsidRPr="00F20FA9">
        <w:rPr>
          <w:i/>
          <w:sz w:val="24"/>
          <w:szCs w:val="24"/>
        </w:rPr>
        <w:t xml:space="preserve">Brown </w:t>
      </w:r>
      <w:r w:rsidRPr="00F20FA9">
        <w:rPr>
          <w:sz w:val="24"/>
          <w:szCs w:val="24"/>
        </w:rPr>
        <w:t>and Beyond</w:t>
      </w:r>
    </w:p>
    <w:p w:rsidR="00A16D34" w:rsidRPr="00F20FA9" w:rsidRDefault="00CD1224" w:rsidP="00CD1224">
      <w:pPr>
        <w:pStyle w:val="NoSpacing"/>
        <w:ind w:firstLine="720"/>
        <w:rPr>
          <w:sz w:val="24"/>
          <w:szCs w:val="24"/>
        </w:rPr>
      </w:pPr>
      <w:r w:rsidRPr="00F20FA9">
        <w:rPr>
          <w:sz w:val="24"/>
          <w:szCs w:val="24"/>
        </w:rPr>
        <w:t>1</w:t>
      </w:r>
      <w:r w:rsidR="00ED6394" w:rsidRPr="00F20FA9">
        <w:rPr>
          <w:sz w:val="24"/>
          <w:szCs w:val="24"/>
        </w:rPr>
        <w:t xml:space="preserve">. </w:t>
      </w:r>
      <w:r w:rsidR="00ED6394" w:rsidRPr="00F20FA9">
        <w:rPr>
          <w:i/>
          <w:sz w:val="24"/>
          <w:szCs w:val="24"/>
        </w:rPr>
        <w:t>Brown</w:t>
      </w:r>
      <w:r w:rsidR="00F856C9" w:rsidRPr="00F20FA9">
        <w:rPr>
          <w:i/>
          <w:sz w:val="24"/>
          <w:szCs w:val="24"/>
        </w:rPr>
        <w:t xml:space="preserve"> </w:t>
      </w:r>
      <w:r w:rsidR="00F856C9" w:rsidRPr="00F20FA9">
        <w:rPr>
          <w:sz w:val="24"/>
          <w:szCs w:val="24"/>
        </w:rPr>
        <w:t>(</w:t>
      </w:r>
      <w:r w:rsidRPr="00F20FA9">
        <w:rPr>
          <w:sz w:val="24"/>
          <w:szCs w:val="24"/>
        </w:rPr>
        <w:t xml:space="preserve">federalism and varying approaches to segregation; LDF approach: </w:t>
      </w:r>
      <w:r w:rsidR="00F856C9" w:rsidRPr="00F20FA9">
        <w:rPr>
          <w:sz w:val="24"/>
          <w:szCs w:val="24"/>
        </w:rPr>
        <w:t xml:space="preserve">filing of cases and path to Supreme Court; </w:t>
      </w:r>
      <w:r w:rsidRPr="00F20FA9">
        <w:rPr>
          <w:sz w:val="24"/>
          <w:szCs w:val="24"/>
        </w:rPr>
        <w:t>giving the Court an excuse:</w:t>
      </w:r>
      <w:r w:rsidR="00A16D34" w:rsidRPr="00F20FA9">
        <w:rPr>
          <w:sz w:val="24"/>
          <w:szCs w:val="24"/>
        </w:rPr>
        <w:t xml:space="preserve"> </w:t>
      </w:r>
      <w:r w:rsidR="00F856C9" w:rsidRPr="00F20FA9">
        <w:rPr>
          <w:sz w:val="24"/>
          <w:szCs w:val="24"/>
        </w:rPr>
        <w:t xml:space="preserve">Kenneth Clark and role of social science; Vinson and divided Supreme Court; Vinson death &amp; nomination of Warren; Warren background and idea of politicians on Supreme Court; </w:t>
      </w:r>
      <w:proofErr w:type="spellStart"/>
      <w:r w:rsidR="00B36B36" w:rsidRPr="00F20FA9">
        <w:rPr>
          <w:sz w:val="24"/>
          <w:szCs w:val="24"/>
        </w:rPr>
        <w:t>reargument</w:t>
      </w:r>
      <w:proofErr w:type="spellEnd"/>
      <w:r w:rsidR="00B36B36" w:rsidRPr="00F20FA9">
        <w:rPr>
          <w:sz w:val="24"/>
          <w:szCs w:val="24"/>
        </w:rPr>
        <w:t xml:space="preserve"> and path to unanimous decision</w:t>
      </w:r>
      <w:r w:rsidRPr="00F20FA9">
        <w:rPr>
          <w:sz w:val="24"/>
          <w:szCs w:val="24"/>
        </w:rPr>
        <w:t xml:space="preserve">; </w:t>
      </w:r>
      <w:r w:rsidRPr="00F20FA9">
        <w:rPr>
          <w:i/>
          <w:sz w:val="24"/>
          <w:szCs w:val="24"/>
        </w:rPr>
        <w:t xml:space="preserve">Brown II </w:t>
      </w:r>
      <w:r w:rsidRPr="00F20FA9">
        <w:rPr>
          <w:sz w:val="24"/>
          <w:szCs w:val="24"/>
        </w:rPr>
        <w:t>and “all deliberate speed”)</w:t>
      </w:r>
    </w:p>
    <w:p w:rsidR="00F856C9" w:rsidRPr="00F20FA9" w:rsidRDefault="00CD1224" w:rsidP="00CD1224">
      <w:pPr>
        <w:pStyle w:val="NoSpacing"/>
        <w:ind w:firstLine="720"/>
        <w:rPr>
          <w:sz w:val="24"/>
          <w:szCs w:val="24"/>
        </w:rPr>
      </w:pPr>
      <w:r w:rsidRPr="00F20FA9">
        <w:rPr>
          <w:sz w:val="24"/>
          <w:szCs w:val="24"/>
        </w:rPr>
        <w:t>2</w:t>
      </w:r>
      <w:r w:rsidR="009C3D54" w:rsidRPr="00F20FA9">
        <w:rPr>
          <w:sz w:val="24"/>
          <w:szCs w:val="24"/>
        </w:rPr>
        <w:t xml:space="preserve">. Reaction (Eisenhower and origins of massive resistance; </w:t>
      </w:r>
      <w:proofErr w:type="spellStart"/>
      <w:r w:rsidRPr="00F20FA9">
        <w:rPr>
          <w:sz w:val="24"/>
          <w:szCs w:val="24"/>
        </w:rPr>
        <w:t>Klarman</w:t>
      </w:r>
      <w:proofErr w:type="spellEnd"/>
      <w:r w:rsidRPr="00F20FA9">
        <w:rPr>
          <w:sz w:val="24"/>
          <w:szCs w:val="24"/>
        </w:rPr>
        <w:t xml:space="preserve"> &amp; backlash thesis; major centers of opp</w:t>
      </w:r>
      <w:r w:rsidR="00F20FA9" w:rsidRPr="00F20FA9">
        <w:rPr>
          <w:sz w:val="24"/>
          <w:szCs w:val="24"/>
        </w:rPr>
        <w:t xml:space="preserve">osition: Virginia: Byrd &amp; state’s segregationist history; “interposition theory,” 1956 referendum, &amp; attempt to block </w:t>
      </w:r>
      <w:r w:rsidR="00F20FA9" w:rsidRPr="00F20FA9">
        <w:rPr>
          <w:i/>
          <w:sz w:val="24"/>
          <w:szCs w:val="24"/>
        </w:rPr>
        <w:t>Brown</w:t>
      </w:r>
      <w:r w:rsidR="00F20FA9" w:rsidRPr="00F20FA9">
        <w:rPr>
          <w:sz w:val="24"/>
          <w:szCs w:val="24"/>
        </w:rPr>
        <w:t xml:space="preserve">; state </w:t>
      </w:r>
      <w:proofErr w:type="spellStart"/>
      <w:r w:rsidR="00F20FA9" w:rsidRPr="00F20FA9">
        <w:rPr>
          <w:sz w:val="24"/>
          <w:szCs w:val="24"/>
        </w:rPr>
        <w:t>SupCt</w:t>
      </w:r>
      <w:proofErr w:type="spellEnd"/>
      <w:r w:rsidR="00F20FA9" w:rsidRPr="00F20FA9">
        <w:rPr>
          <w:sz w:val="24"/>
          <w:szCs w:val="24"/>
        </w:rPr>
        <w:t xml:space="preserve"> rejection &amp; movement toward closing public schools; Supreme Court rejection; Arkansas: </w:t>
      </w:r>
      <w:proofErr w:type="spellStart"/>
      <w:r w:rsidR="00B36B36" w:rsidRPr="00F20FA9">
        <w:rPr>
          <w:sz w:val="24"/>
          <w:szCs w:val="24"/>
        </w:rPr>
        <w:t>Orval</w:t>
      </w:r>
      <w:proofErr w:type="spellEnd"/>
      <w:r w:rsidR="00B36B36" w:rsidRPr="00F20FA9">
        <w:rPr>
          <w:sz w:val="24"/>
          <w:szCs w:val="24"/>
        </w:rPr>
        <w:t xml:space="preserve"> </w:t>
      </w:r>
      <w:proofErr w:type="spellStart"/>
      <w:r w:rsidR="00B36B36" w:rsidRPr="00F20FA9">
        <w:rPr>
          <w:sz w:val="24"/>
          <w:szCs w:val="24"/>
        </w:rPr>
        <w:t>Faubus</w:t>
      </w:r>
      <w:proofErr w:type="spellEnd"/>
      <w:r w:rsidR="00B36B36" w:rsidRPr="00F20FA9">
        <w:rPr>
          <w:sz w:val="24"/>
          <w:szCs w:val="24"/>
        </w:rPr>
        <w:t xml:space="preserve"> and overt challenge to federal authority</w:t>
      </w:r>
      <w:r w:rsidR="00F20FA9" w:rsidRPr="00F20FA9">
        <w:rPr>
          <w:sz w:val="24"/>
          <w:szCs w:val="24"/>
        </w:rPr>
        <w:t xml:space="preserve">; Little Rock background, </w:t>
      </w:r>
      <w:r w:rsidR="003A6C95" w:rsidRPr="00F20FA9">
        <w:rPr>
          <w:sz w:val="24"/>
          <w:szCs w:val="24"/>
        </w:rPr>
        <w:t>sending of troops, AR response—close schools unless popular vote to allow integration</w:t>
      </w:r>
      <w:r w:rsidR="00F20FA9" w:rsidRPr="00F20FA9">
        <w:rPr>
          <w:sz w:val="24"/>
          <w:szCs w:val="24"/>
        </w:rPr>
        <w:t xml:space="preserve"> court rejection &amp; cultural legacy</w:t>
      </w:r>
      <w:r w:rsidR="00F856C9" w:rsidRPr="00F20FA9">
        <w:rPr>
          <w:sz w:val="24"/>
          <w:szCs w:val="24"/>
        </w:rPr>
        <w:t>)</w:t>
      </w:r>
    </w:p>
    <w:p w:rsidR="00F856C9" w:rsidRPr="00F20FA9" w:rsidRDefault="00C00D00" w:rsidP="00C00D00">
      <w:pPr>
        <w:pStyle w:val="NoSpacing"/>
        <w:tabs>
          <w:tab w:val="left" w:pos="6735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F856C9" w:rsidRPr="00F20FA9" w:rsidRDefault="00F856C9" w:rsidP="00863B86">
      <w:pPr>
        <w:pStyle w:val="NoSpacing"/>
        <w:rPr>
          <w:sz w:val="24"/>
          <w:szCs w:val="24"/>
        </w:rPr>
      </w:pPr>
    </w:p>
    <w:p w:rsidR="009C3D54" w:rsidRPr="00F20FA9" w:rsidRDefault="009C3D54" w:rsidP="00863B86">
      <w:pPr>
        <w:pStyle w:val="NoSpacing"/>
        <w:rPr>
          <w:sz w:val="24"/>
          <w:szCs w:val="24"/>
        </w:rPr>
      </w:pPr>
    </w:p>
    <w:sectPr w:rsidR="009C3D54" w:rsidRPr="00F20FA9" w:rsidSect="00F031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B6681"/>
    <w:multiLevelType w:val="hybridMultilevel"/>
    <w:tmpl w:val="A068551A"/>
    <w:lvl w:ilvl="0" w:tplc="EACADC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5EF69DE"/>
    <w:multiLevelType w:val="hybridMultilevel"/>
    <w:tmpl w:val="2B6C1FEC"/>
    <w:lvl w:ilvl="0" w:tplc="7CB845E0">
      <w:start w:val="9"/>
      <w:numFmt w:val="bullet"/>
      <w:lvlText w:val=""/>
      <w:lvlJc w:val="left"/>
      <w:pPr>
        <w:ind w:left="39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771"/>
    <w:rsid w:val="000137F4"/>
    <w:rsid w:val="002D7191"/>
    <w:rsid w:val="003A6C95"/>
    <w:rsid w:val="004435A2"/>
    <w:rsid w:val="005760D3"/>
    <w:rsid w:val="00813823"/>
    <w:rsid w:val="00827462"/>
    <w:rsid w:val="00863B86"/>
    <w:rsid w:val="008A3929"/>
    <w:rsid w:val="008B58AD"/>
    <w:rsid w:val="008D0367"/>
    <w:rsid w:val="008F292B"/>
    <w:rsid w:val="0090046D"/>
    <w:rsid w:val="009978C7"/>
    <w:rsid w:val="009C3D54"/>
    <w:rsid w:val="00A01771"/>
    <w:rsid w:val="00A16D34"/>
    <w:rsid w:val="00AA7978"/>
    <w:rsid w:val="00B36365"/>
    <w:rsid w:val="00B36B36"/>
    <w:rsid w:val="00C00D00"/>
    <w:rsid w:val="00CA62B8"/>
    <w:rsid w:val="00CD1224"/>
    <w:rsid w:val="00D668D7"/>
    <w:rsid w:val="00D8504D"/>
    <w:rsid w:val="00DF4775"/>
    <w:rsid w:val="00ED6394"/>
    <w:rsid w:val="00F03193"/>
    <w:rsid w:val="00F20FA9"/>
    <w:rsid w:val="00F85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63B8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01771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9C3D54"/>
  </w:style>
  <w:style w:type="character" w:styleId="Emphasis">
    <w:name w:val="Emphasis"/>
    <w:basedOn w:val="DefaultParagraphFont"/>
    <w:uiPriority w:val="20"/>
    <w:qFormat/>
    <w:rsid w:val="009C3D54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863B86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863B8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63B8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01771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9C3D54"/>
  </w:style>
  <w:style w:type="character" w:styleId="Emphasis">
    <w:name w:val="Emphasis"/>
    <w:basedOn w:val="DefaultParagraphFont"/>
    <w:uiPriority w:val="20"/>
    <w:qFormat/>
    <w:rsid w:val="009C3D54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863B86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863B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45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KC</cp:lastModifiedBy>
  <cp:revision>5</cp:revision>
  <dcterms:created xsi:type="dcterms:W3CDTF">2013-02-09T00:56:00Z</dcterms:created>
  <dcterms:modified xsi:type="dcterms:W3CDTF">2013-02-14T00:51:00Z</dcterms:modified>
</cp:coreProperties>
</file>