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DD6" w:rsidRPr="00781591" w:rsidRDefault="00284DD6" w:rsidP="00284DD6">
      <w:pPr>
        <w:jc w:val="center"/>
        <w:rPr>
          <w:rFonts w:asciiTheme="minorHAnsi" w:hAnsiTheme="minorHAnsi"/>
          <w:sz w:val="22"/>
          <w:szCs w:val="22"/>
        </w:rPr>
      </w:pPr>
      <w:r w:rsidRPr="00781591">
        <w:rPr>
          <w:rFonts w:asciiTheme="minorHAnsi" w:hAnsiTheme="minorHAnsi"/>
          <w:sz w:val="22"/>
          <w:szCs w:val="22"/>
        </w:rPr>
        <w:t>History 3457/Children’s Studie</w:t>
      </w:r>
      <w:bookmarkStart w:id="0" w:name="_GoBack"/>
      <w:bookmarkEnd w:id="0"/>
      <w:r w:rsidRPr="00781591">
        <w:rPr>
          <w:rFonts w:asciiTheme="minorHAnsi" w:hAnsiTheme="minorHAnsi"/>
          <w:sz w:val="22"/>
          <w:szCs w:val="22"/>
        </w:rPr>
        <w:t>s 3120</w:t>
      </w:r>
    </w:p>
    <w:p w:rsidR="00B92D9A" w:rsidRPr="00781591" w:rsidRDefault="00C848AA">
      <w:pPr>
        <w:jc w:val="center"/>
        <w:rPr>
          <w:rFonts w:asciiTheme="minorHAnsi" w:hAnsiTheme="minorHAnsi"/>
          <w:sz w:val="22"/>
          <w:szCs w:val="22"/>
        </w:rPr>
      </w:pPr>
      <w:r w:rsidRPr="00781591">
        <w:rPr>
          <w:rFonts w:asciiTheme="minorHAnsi" w:hAnsiTheme="minorHAnsi"/>
          <w:sz w:val="22"/>
          <w:szCs w:val="22"/>
        </w:rPr>
        <w:t>1920s Youth Culture and Legal Issues</w:t>
      </w:r>
    </w:p>
    <w:p w:rsidR="00B92D9A" w:rsidRPr="00781591" w:rsidRDefault="00284DD6">
      <w:pPr>
        <w:jc w:val="center"/>
        <w:rPr>
          <w:rFonts w:asciiTheme="minorHAnsi" w:hAnsiTheme="minorHAnsi"/>
          <w:sz w:val="22"/>
          <w:szCs w:val="22"/>
        </w:rPr>
      </w:pPr>
      <w:r w:rsidRPr="00781591">
        <w:rPr>
          <w:rFonts w:asciiTheme="minorHAnsi" w:hAnsiTheme="minorHAnsi"/>
          <w:sz w:val="22"/>
          <w:szCs w:val="22"/>
        </w:rPr>
        <w:t>5 February 2013</w:t>
      </w:r>
    </w:p>
    <w:p w:rsidR="00B92D9A" w:rsidRPr="00781591" w:rsidRDefault="00B92D9A">
      <w:pPr>
        <w:jc w:val="center"/>
        <w:rPr>
          <w:rFonts w:asciiTheme="minorHAnsi" w:hAnsiTheme="minorHAnsi"/>
          <w:sz w:val="22"/>
          <w:szCs w:val="22"/>
        </w:rPr>
      </w:pPr>
    </w:p>
    <w:p w:rsidR="00B92D9A" w:rsidRPr="00781591" w:rsidRDefault="00B92D9A">
      <w:pPr>
        <w:jc w:val="center"/>
        <w:rPr>
          <w:rFonts w:asciiTheme="minorHAnsi" w:hAnsiTheme="minorHAnsi"/>
          <w:sz w:val="22"/>
          <w:szCs w:val="22"/>
        </w:rPr>
      </w:pPr>
    </w:p>
    <w:p w:rsidR="00B92D9A" w:rsidRPr="00781591" w:rsidRDefault="00B92D9A">
      <w:pPr>
        <w:jc w:val="both"/>
        <w:rPr>
          <w:rFonts w:asciiTheme="minorHAnsi" w:hAnsiTheme="minorHAnsi"/>
          <w:sz w:val="22"/>
          <w:szCs w:val="22"/>
        </w:rPr>
      </w:pPr>
    </w:p>
    <w:p w:rsidR="00284DD6" w:rsidRPr="00781591" w:rsidRDefault="00284DD6">
      <w:pPr>
        <w:jc w:val="both"/>
        <w:rPr>
          <w:rFonts w:asciiTheme="minorHAnsi" w:hAnsiTheme="minorHAnsi"/>
          <w:sz w:val="22"/>
          <w:szCs w:val="22"/>
        </w:rPr>
      </w:pPr>
      <w:r w:rsidRPr="00781591">
        <w:rPr>
          <w:rFonts w:asciiTheme="minorHAnsi" w:hAnsiTheme="minorHAnsi"/>
          <w:sz w:val="22"/>
          <w:szCs w:val="22"/>
        </w:rPr>
        <w:t xml:space="preserve">I. The </w:t>
      </w:r>
      <w:r w:rsidR="00535726">
        <w:rPr>
          <w:rFonts w:asciiTheme="minorHAnsi" w:hAnsiTheme="minorHAnsi"/>
          <w:sz w:val="22"/>
          <w:szCs w:val="22"/>
        </w:rPr>
        <w:t xml:space="preserve">Taft </w:t>
      </w:r>
      <w:r w:rsidRPr="00781591">
        <w:rPr>
          <w:rFonts w:asciiTheme="minorHAnsi" w:hAnsiTheme="minorHAnsi"/>
          <w:sz w:val="22"/>
          <w:szCs w:val="22"/>
        </w:rPr>
        <w:t xml:space="preserve">Court &amp; </w:t>
      </w:r>
      <w:proofErr w:type="gramStart"/>
      <w:r w:rsidRPr="00781591">
        <w:rPr>
          <w:rFonts w:asciiTheme="minorHAnsi" w:hAnsiTheme="minorHAnsi"/>
          <w:sz w:val="22"/>
          <w:szCs w:val="22"/>
        </w:rPr>
        <w:t>The</w:t>
      </w:r>
      <w:proofErr w:type="gramEnd"/>
      <w:r w:rsidRPr="00781591">
        <w:rPr>
          <w:rFonts w:asciiTheme="minorHAnsi" w:hAnsiTheme="minorHAnsi"/>
          <w:sz w:val="22"/>
          <w:szCs w:val="22"/>
        </w:rPr>
        <w:t xml:space="preserve"> Young</w:t>
      </w:r>
    </w:p>
    <w:p w:rsidR="00ED18EB" w:rsidRPr="00781591" w:rsidRDefault="00781591" w:rsidP="00ED18EB">
      <w:pPr>
        <w:jc w:val="both"/>
        <w:rPr>
          <w:rFonts w:asciiTheme="minorHAnsi" w:hAnsiTheme="minorHAnsi" w:cstheme="minorHAnsi"/>
          <w:sz w:val="22"/>
          <w:szCs w:val="22"/>
        </w:rPr>
      </w:pPr>
      <w:r w:rsidRPr="00781591">
        <w:rPr>
          <w:rFonts w:asciiTheme="minorHAnsi" w:hAnsiTheme="minorHAnsi"/>
          <w:sz w:val="22"/>
          <w:szCs w:val="22"/>
        </w:rPr>
        <w:tab/>
      </w:r>
      <w:r w:rsidR="00ED18EB" w:rsidRPr="00781591">
        <w:rPr>
          <w:rFonts w:asciiTheme="minorHAnsi" w:hAnsiTheme="minorHAnsi" w:cstheme="minorHAnsi"/>
          <w:sz w:val="22"/>
          <w:szCs w:val="22"/>
        </w:rPr>
        <w:t xml:space="preserve">1. The Constitution according to William Howard Taft (the Taft Court—WHT, Pierce Butler, Sutherland, McReynolds, Willis Van </w:t>
      </w:r>
      <w:proofErr w:type="spellStart"/>
      <w:r w:rsidR="00ED18EB" w:rsidRPr="00781591">
        <w:rPr>
          <w:rFonts w:asciiTheme="minorHAnsi" w:hAnsiTheme="minorHAnsi" w:cstheme="minorHAnsi"/>
          <w:sz w:val="22"/>
          <w:szCs w:val="22"/>
        </w:rPr>
        <w:t>Devanter</w:t>
      </w:r>
      <w:proofErr w:type="spellEnd"/>
      <w:r w:rsidR="00ED18EB" w:rsidRPr="00781591">
        <w:rPr>
          <w:rFonts w:asciiTheme="minorHAnsi" w:hAnsiTheme="minorHAnsi" w:cstheme="minorHAnsi"/>
          <w:sz w:val="22"/>
          <w:szCs w:val="22"/>
        </w:rPr>
        <w:t>; conception of role—professionalization and celebration of judiciary)</w:t>
      </w:r>
    </w:p>
    <w:p w:rsidR="00ED18EB" w:rsidRPr="00781591" w:rsidRDefault="00ED18EB" w:rsidP="00ED18EB">
      <w:pPr>
        <w:jc w:val="both"/>
        <w:rPr>
          <w:rFonts w:asciiTheme="minorHAnsi" w:hAnsiTheme="minorHAnsi" w:cstheme="minorHAnsi"/>
          <w:sz w:val="22"/>
          <w:szCs w:val="22"/>
        </w:rPr>
      </w:pPr>
      <w:r w:rsidRPr="00781591">
        <w:rPr>
          <w:rFonts w:asciiTheme="minorHAnsi" w:hAnsiTheme="minorHAnsi" w:cstheme="minorHAnsi"/>
          <w:sz w:val="22"/>
          <w:szCs w:val="22"/>
        </w:rPr>
        <w:tab/>
        <w:t xml:space="preserve">2. The Court </w:t>
      </w:r>
      <w:r w:rsidR="00781591" w:rsidRPr="00781591">
        <w:rPr>
          <w:rFonts w:asciiTheme="minorHAnsi" w:hAnsiTheme="minorHAnsi" w:cstheme="minorHAnsi"/>
          <w:sz w:val="22"/>
          <w:szCs w:val="22"/>
        </w:rPr>
        <w:t>&amp; 1920s P</w:t>
      </w:r>
      <w:r w:rsidRPr="00781591">
        <w:rPr>
          <w:rFonts w:asciiTheme="minorHAnsi" w:hAnsiTheme="minorHAnsi" w:cstheme="minorHAnsi"/>
          <w:sz w:val="22"/>
          <w:szCs w:val="22"/>
        </w:rPr>
        <w:t>olitics (</w:t>
      </w:r>
      <w:r w:rsidR="00535726">
        <w:rPr>
          <w:rFonts w:asciiTheme="minorHAnsi" w:hAnsiTheme="minorHAnsi" w:cstheme="minorHAnsi"/>
          <w:sz w:val="22"/>
          <w:szCs w:val="22"/>
        </w:rPr>
        <w:t xml:space="preserve">blocking attempts to regulate child labor—from </w:t>
      </w:r>
      <w:r w:rsidR="00535726" w:rsidRPr="00535726">
        <w:rPr>
          <w:rFonts w:asciiTheme="minorHAnsi" w:hAnsiTheme="minorHAnsi" w:cs="Arial"/>
          <w:i/>
          <w:sz w:val="22"/>
          <w:szCs w:val="22"/>
          <w:shd w:val="clear" w:color="auto" w:fill="FFFFFF"/>
        </w:rPr>
        <w:t xml:space="preserve">Hammer v. </w:t>
      </w:r>
      <w:proofErr w:type="spellStart"/>
      <w:r w:rsidR="00535726" w:rsidRPr="00535726">
        <w:rPr>
          <w:rFonts w:asciiTheme="minorHAnsi" w:hAnsiTheme="minorHAnsi" w:cs="Arial"/>
          <w:i/>
          <w:sz w:val="22"/>
          <w:szCs w:val="22"/>
          <w:shd w:val="clear" w:color="auto" w:fill="FFFFFF"/>
        </w:rPr>
        <w:t>Dagenhart</w:t>
      </w:r>
      <w:proofErr w:type="spellEnd"/>
      <w:r w:rsidR="00535726" w:rsidRPr="00535726">
        <w:rPr>
          <w:rFonts w:asciiTheme="minorHAnsi" w:hAnsiTheme="minorHAnsi" w:cs="Arial"/>
          <w:sz w:val="22"/>
          <w:szCs w:val="22"/>
          <w:shd w:val="clear" w:color="auto" w:fill="FFFFFF"/>
        </w:rPr>
        <w:t xml:space="preserve"> to</w:t>
      </w:r>
      <w:r w:rsidR="00535726" w:rsidRPr="00535726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Pr="00781591">
        <w:rPr>
          <w:rFonts w:asciiTheme="minorHAnsi" w:hAnsiTheme="minorHAnsi" w:cstheme="minorHAnsi"/>
          <w:i/>
          <w:sz w:val="22"/>
          <w:szCs w:val="22"/>
        </w:rPr>
        <w:t xml:space="preserve">Bailey v. Drexel Furniture </w:t>
      </w:r>
      <w:r w:rsidRPr="00781591">
        <w:rPr>
          <w:rFonts w:asciiTheme="minorHAnsi" w:hAnsiTheme="minorHAnsi" w:cstheme="minorHAnsi"/>
          <w:sz w:val="22"/>
          <w:szCs w:val="22"/>
        </w:rPr>
        <w:t xml:space="preserve">(1922)—child labor; </w:t>
      </w:r>
      <w:r w:rsidRPr="00781591">
        <w:rPr>
          <w:rFonts w:asciiTheme="minorHAnsi" w:hAnsiTheme="minorHAnsi" w:cstheme="minorHAnsi"/>
          <w:i/>
          <w:sz w:val="22"/>
          <w:szCs w:val="22"/>
        </w:rPr>
        <w:t xml:space="preserve">Adkins v. Children’s Hospital </w:t>
      </w:r>
      <w:r w:rsidRPr="00781591">
        <w:rPr>
          <w:rFonts w:asciiTheme="minorHAnsi" w:hAnsiTheme="minorHAnsi" w:cstheme="minorHAnsi"/>
          <w:sz w:val="22"/>
          <w:szCs w:val="22"/>
        </w:rPr>
        <w:t xml:space="preserve">(1923)—minimum wage; progressives on the defensive: failure of Child Labor amendment, La </w:t>
      </w:r>
      <w:proofErr w:type="spellStart"/>
      <w:r w:rsidRPr="00781591">
        <w:rPr>
          <w:rFonts w:asciiTheme="minorHAnsi" w:hAnsiTheme="minorHAnsi" w:cstheme="minorHAnsi"/>
          <w:sz w:val="22"/>
          <w:szCs w:val="22"/>
        </w:rPr>
        <w:t>Follette</w:t>
      </w:r>
      <w:proofErr w:type="spellEnd"/>
      <w:r w:rsidRPr="00781591">
        <w:rPr>
          <w:rFonts w:asciiTheme="minorHAnsi" w:hAnsiTheme="minorHAnsi" w:cstheme="minorHAnsi"/>
          <w:sz w:val="22"/>
          <w:szCs w:val="22"/>
        </w:rPr>
        <w:t xml:space="preserve"> and 1924 campaign)</w:t>
      </w:r>
    </w:p>
    <w:p w:rsidR="00284DD6" w:rsidRPr="003F31FC" w:rsidRDefault="00781591">
      <w:pPr>
        <w:jc w:val="both"/>
        <w:rPr>
          <w:rFonts w:asciiTheme="minorHAnsi" w:hAnsiTheme="minorHAnsi" w:cstheme="minorHAnsi"/>
          <w:sz w:val="22"/>
          <w:szCs w:val="22"/>
        </w:rPr>
      </w:pPr>
      <w:r w:rsidRPr="00781591">
        <w:rPr>
          <w:rFonts w:asciiTheme="minorHAnsi" w:hAnsiTheme="minorHAnsi" w:cstheme="minorHAnsi"/>
          <w:sz w:val="22"/>
          <w:szCs w:val="22"/>
        </w:rPr>
        <w:tab/>
        <w:t xml:space="preserve">3. The Court &amp; 1920s Education (nativism, nationalism, and legacy of World War I; </w:t>
      </w:r>
      <w:r w:rsidR="00A12007">
        <w:rPr>
          <w:rFonts w:asciiTheme="minorHAnsi" w:hAnsiTheme="minorHAnsi" w:cstheme="minorHAnsi"/>
          <w:i/>
          <w:sz w:val="22"/>
          <w:szCs w:val="22"/>
        </w:rPr>
        <w:t xml:space="preserve">Meyer v. Nebraska: </w:t>
      </w:r>
      <w:r w:rsidR="00A12007">
        <w:rPr>
          <w:rFonts w:asciiTheme="minorHAnsi" w:hAnsiTheme="minorHAnsi" w:cstheme="minorHAnsi"/>
          <w:sz w:val="22"/>
          <w:szCs w:val="22"/>
        </w:rPr>
        <w:t>WWI law prohibiting instruction of foreign languages</w:t>
      </w:r>
      <w:r w:rsidR="003F31FC">
        <w:rPr>
          <w:rFonts w:asciiTheme="minorHAnsi" w:hAnsiTheme="minorHAnsi" w:cstheme="minorHAnsi"/>
          <w:sz w:val="22"/>
          <w:szCs w:val="22"/>
        </w:rPr>
        <w:t xml:space="preserve">, </w:t>
      </w:r>
      <w:r w:rsidR="00A70204">
        <w:rPr>
          <w:rFonts w:asciiTheme="minorHAnsi" w:hAnsiTheme="minorHAnsi" w:cstheme="minorHAnsi"/>
          <w:sz w:val="22"/>
          <w:szCs w:val="22"/>
        </w:rPr>
        <w:t>Supreme Court overturns NE decision</w:t>
      </w:r>
      <w:r w:rsidR="003F31FC">
        <w:rPr>
          <w:rFonts w:asciiTheme="minorHAnsi" w:hAnsiTheme="minorHAnsi" w:cstheme="minorHAnsi"/>
          <w:sz w:val="22"/>
          <w:szCs w:val="22"/>
        </w:rPr>
        <w:t xml:space="preserve">; </w:t>
      </w:r>
      <w:r w:rsidR="003F31FC">
        <w:rPr>
          <w:rFonts w:asciiTheme="minorHAnsi" w:hAnsiTheme="minorHAnsi" w:cstheme="minorHAnsi"/>
          <w:i/>
          <w:sz w:val="22"/>
          <w:szCs w:val="22"/>
        </w:rPr>
        <w:t>Pierce v. Society of Sisters</w:t>
      </w:r>
      <w:r w:rsidR="003F31FC">
        <w:rPr>
          <w:rFonts w:asciiTheme="minorHAnsi" w:hAnsiTheme="minorHAnsi" w:cstheme="minorHAnsi"/>
          <w:sz w:val="22"/>
          <w:szCs w:val="22"/>
        </w:rPr>
        <w:t>: 1922 Compulsory Education Act—targeting parochial schools, annulled by Court—liberty interests of students &amp; parents</w:t>
      </w:r>
      <w:r w:rsidR="00A12007">
        <w:rPr>
          <w:rFonts w:asciiTheme="minorHAnsi" w:hAnsiTheme="minorHAnsi" w:cstheme="minorHAnsi"/>
          <w:sz w:val="22"/>
          <w:szCs w:val="22"/>
        </w:rPr>
        <w:t>; long-term significance—expansion of 5</w:t>
      </w:r>
      <w:r w:rsidR="00A12007" w:rsidRPr="00A12007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A12007">
        <w:rPr>
          <w:rFonts w:asciiTheme="minorHAnsi" w:hAnsiTheme="minorHAnsi" w:cstheme="minorHAnsi"/>
          <w:sz w:val="22"/>
          <w:szCs w:val="22"/>
        </w:rPr>
        <w:t xml:space="preserve"> amendment guarantee of due process</w:t>
      </w:r>
      <w:r w:rsidR="00027D65">
        <w:rPr>
          <w:rFonts w:asciiTheme="minorHAnsi" w:hAnsiTheme="minorHAnsi" w:cstheme="minorHAnsi"/>
          <w:sz w:val="22"/>
          <w:szCs w:val="22"/>
        </w:rPr>
        <w:t xml:space="preserve"> to non-economic issues</w:t>
      </w:r>
      <w:r w:rsidR="00A12007">
        <w:rPr>
          <w:rFonts w:asciiTheme="minorHAnsi" w:hAnsiTheme="minorHAnsi" w:cstheme="minorHAnsi"/>
          <w:sz w:val="22"/>
          <w:szCs w:val="22"/>
        </w:rPr>
        <w:t>)</w:t>
      </w:r>
    </w:p>
    <w:p w:rsidR="00284DD6" w:rsidRPr="00781591" w:rsidRDefault="00284DD6">
      <w:pPr>
        <w:jc w:val="both"/>
        <w:rPr>
          <w:rFonts w:asciiTheme="minorHAnsi" w:hAnsiTheme="minorHAnsi"/>
          <w:sz w:val="22"/>
          <w:szCs w:val="22"/>
        </w:rPr>
      </w:pPr>
    </w:p>
    <w:p w:rsidR="00B92D9A" w:rsidRPr="00781591" w:rsidRDefault="00535726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II</w:t>
      </w:r>
      <w:r w:rsidR="00C848AA" w:rsidRPr="00781591">
        <w:rPr>
          <w:rFonts w:asciiTheme="minorHAnsi" w:hAnsiTheme="minorHAnsi"/>
          <w:sz w:val="22"/>
          <w:szCs w:val="22"/>
        </w:rPr>
        <w:t>. Cultural Confrontations</w:t>
      </w:r>
    </w:p>
    <w:p w:rsidR="00B92D9A" w:rsidRPr="00781591" w:rsidRDefault="00C848AA">
      <w:pPr>
        <w:jc w:val="both"/>
        <w:rPr>
          <w:rFonts w:asciiTheme="minorHAnsi" w:hAnsiTheme="minorHAnsi"/>
          <w:sz w:val="22"/>
          <w:szCs w:val="22"/>
        </w:rPr>
      </w:pPr>
      <w:r w:rsidRPr="00781591">
        <w:rPr>
          <w:rFonts w:asciiTheme="minorHAnsi" w:hAnsiTheme="minorHAnsi"/>
          <w:sz w:val="22"/>
          <w:szCs w:val="22"/>
        </w:rPr>
        <w:tab/>
        <w:t>1. The 1920s Divide (Prohibition and its effects; rise of KKK; cultural polarization—Democratic 1924 convention; Republicans and “</w:t>
      </w:r>
      <w:r w:rsidR="00ED18EB" w:rsidRPr="00781591">
        <w:rPr>
          <w:rFonts w:asciiTheme="minorHAnsi" w:hAnsiTheme="minorHAnsi"/>
          <w:sz w:val="22"/>
          <w:szCs w:val="22"/>
        </w:rPr>
        <w:t>normalcy”; Democrats and ethnic voters</w:t>
      </w:r>
      <w:r w:rsidRPr="00781591">
        <w:rPr>
          <w:rFonts w:asciiTheme="minorHAnsi" w:hAnsiTheme="minorHAnsi"/>
          <w:sz w:val="22"/>
          <w:szCs w:val="22"/>
        </w:rPr>
        <w:t>; weakness of progressives; Al Smith and 1928)</w:t>
      </w:r>
    </w:p>
    <w:p w:rsidR="00B92D9A" w:rsidRPr="00781591" w:rsidRDefault="00C848AA">
      <w:pPr>
        <w:jc w:val="both"/>
        <w:rPr>
          <w:rFonts w:asciiTheme="minorHAnsi" w:hAnsiTheme="minorHAnsi"/>
          <w:sz w:val="22"/>
          <w:szCs w:val="22"/>
        </w:rPr>
      </w:pPr>
      <w:r w:rsidRPr="00781591">
        <w:rPr>
          <w:rFonts w:asciiTheme="minorHAnsi" w:hAnsiTheme="minorHAnsi"/>
          <w:sz w:val="22"/>
          <w:szCs w:val="22"/>
        </w:rPr>
        <w:tab/>
        <w:t>2. Scopes Trial (</w:t>
      </w:r>
      <w:r w:rsidR="00ED18EB" w:rsidRPr="00781591">
        <w:rPr>
          <w:rFonts w:asciiTheme="minorHAnsi" w:hAnsiTheme="minorHAnsi"/>
          <w:sz w:val="22"/>
          <w:szCs w:val="22"/>
        </w:rPr>
        <w:t>anti-evolution movement and transformation of American fundamentalism; Scopes prosecution; ACLU and Darrow; national attention and press bias; Darrow and Bryan strategies—highlight broad effects of issue; cross-examination of Bryan; verdict and effect)</w:t>
      </w:r>
    </w:p>
    <w:p w:rsidR="00B92D9A" w:rsidRDefault="00B92D9A">
      <w:pPr>
        <w:jc w:val="both"/>
        <w:rPr>
          <w:rFonts w:asciiTheme="minorHAnsi" w:hAnsiTheme="minorHAnsi"/>
          <w:sz w:val="22"/>
          <w:szCs w:val="22"/>
        </w:rPr>
      </w:pPr>
    </w:p>
    <w:p w:rsidR="00535726" w:rsidRPr="00781591" w:rsidRDefault="00535726" w:rsidP="00535726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III. </w:t>
      </w:r>
      <w:r w:rsidRPr="00781591">
        <w:rPr>
          <w:rFonts w:asciiTheme="minorHAnsi" w:hAnsiTheme="minorHAnsi"/>
          <w:sz w:val="22"/>
          <w:szCs w:val="22"/>
        </w:rPr>
        <w:t>The Trials of A. Lawrence Lowell</w:t>
      </w:r>
    </w:p>
    <w:p w:rsidR="00535726" w:rsidRPr="00781591" w:rsidRDefault="00535726" w:rsidP="00535726">
      <w:pPr>
        <w:ind w:firstLine="720"/>
        <w:jc w:val="both"/>
        <w:rPr>
          <w:rFonts w:asciiTheme="minorHAnsi" w:hAnsiTheme="minorHAnsi"/>
          <w:sz w:val="22"/>
          <w:szCs w:val="22"/>
        </w:rPr>
      </w:pPr>
      <w:r w:rsidRPr="00781591">
        <w:rPr>
          <w:rFonts w:asciiTheme="minorHAnsi" w:hAnsiTheme="minorHAnsi"/>
          <w:sz w:val="22"/>
          <w:szCs w:val="22"/>
        </w:rPr>
        <w:t>1. The Ideal Harvard Student Body</w:t>
      </w:r>
      <w:r>
        <w:rPr>
          <w:rFonts w:asciiTheme="minorHAnsi" w:hAnsiTheme="minorHAnsi"/>
          <w:sz w:val="22"/>
          <w:szCs w:val="22"/>
        </w:rPr>
        <w:t xml:space="preserve"> (Harvard and elite culture; Wilcox suicide and reports to Harvard; Lowell </w:t>
      </w:r>
      <w:r w:rsidR="00A70204">
        <w:rPr>
          <w:rFonts w:asciiTheme="minorHAnsi" w:hAnsiTheme="minorHAnsi"/>
          <w:sz w:val="22"/>
          <w:szCs w:val="22"/>
        </w:rPr>
        <w:t>creation of</w:t>
      </w:r>
      <w:r>
        <w:rPr>
          <w:rFonts w:asciiTheme="minorHAnsi" w:hAnsiTheme="minorHAnsi"/>
          <w:sz w:val="22"/>
          <w:szCs w:val="22"/>
        </w:rPr>
        <w:t xml:space="preserve"> “Secret Court”; </w:t>
      </w:r>
      <w:r w:rsidR="00A70204">
        <w:rPr>
          <w:rFonts w:asciiTheme="minorHAnsi" w:hAnsiTheme="minorHAnsi"/>
          <w:sz w:val="22"/>
          <w:szCs w:val="22"/>
        </w:rPr>
        <w:t xml:space="preserve">expulsions &amp; </w:t>
      </w:r>
      <w:r>
        <w:rPr>
          <w:rFonts w:asciiTheme="minorHAnsi" w:hAnsiTheme="minorHAnsi"/>
          <w:sz w:val="22"/>
          <w:szCs w:val="22"/>
        </w:rPr>
        <w:t>cover-up; Lowell and idea of Jewish quota; test scores and difficulty of merit-based admission; student &amp; media resistance; implementation through “geographic diversity” criterion</w:t>
      </w:r>
      <w:r w:rsidRPr="00A12007">
        <w:rPr>
          <w:rFonts w:asciiTheme="minorHAnsi" w:hAnsiTheme="minorHAnsi"/>
          <w:sz w:val="22"/>
          <w:szCs w:val="22"/>
        </w:rPr>
        <w:sym w:font="Wingdings" w:char="F0E0"/>
      </w:r>
      <w:r>
        <w:rPr>
          <w:rFonts w:asciiTheme="minorHAnsi" w:hAnsiTheme="minorHAnsi"/>
          <w:sz w:val="22"/>
          <w:szCs w:val="22"/>
        </w:rPr>
        <w:t>Jews limited to 15%)</w:t>
      </w:r>
    </w:p>
    <w:p w:rsidR="00535726" w:rsidRPr="00781591" w:rsidRDefault="00535726" w:rsidP="00535726">
      <w:pPr>
        <w:ind w:firstLine="720"/>
        <w:jc w:val="both"/>
        <w:rPr>
          <w:rFonts w:asciiTheme="minorHAnsi" w:hAnsiTheme="minorHAnsi"/>
          <w:sz w:val="22"/>
          <w:szCs w:val="22"/>
        </w:rPr>
      </w:pPr>
      <w:r w:rsidRPr="00781591">
        <w:rPr>
          <w:rFonts w:asciiTheme="minorHAnsi" w:hAnsiTheme="minorHAnsi"/>
          <w:sz w:val="22"/>
          <w:szCs w:val="22"/>
        </w:rPr>
        <w:t>2. Effects of Academic Freedom: Sacco and Vanzetti (anti-radical sentiment and World War I; role of anti-immigrant sentiment and federal government; conviction and trial violations; Felix Frankfurter and legal committee; international reaction)</w:t>
      </w:r>
    </w:p>
    <w:p w:rsidR="00C848AA" w:rsidRPr="00781591" w:rsidRDefault="00535726">
      <w:pPr>
        <w:jc w:val="both"/>
        <w:rPr>
          <w:rFonts w:asciiTheme="minorHAnsi" w:hAnsiTheme="minorHAnsi"/>
          <w:sz w:val="22"/>
          <w:szCs w:val="22"/>
        </w:rPr>
      </w:pPr>
      <w:r w:rsidRPr="00781591">
        <w:rPr>
          <w:rFonts w:asciiTheme="minorHAnsi" w:hAnsiTheme="minorHAnsi"/>
          <w:sz w:val="22"/>
          <w:szCs w:val="22"/>
        </w:rPr>
        <w:tab/>
        <w:t xml:space="preserve">3. </w:t>
      </w:r>
      <w:r w:rsidR="002E6C44">
        <w:rPr>
          <w:rFonts w:asciiTheme="minorHAnsi" w:hAnsiTheme="minorHAnsi"/>
          <w:sz w:val="22"/>
          <w:szCs w:val="22"/>
        </w:rPr>
        <w:t>Juvenile Justice</w:t>
      </w:r>
      <w:r w:rsidRPr="00781591">
        <w:rPr>
          <w:rFonts w:asciiTheme="minorHAnsi" w:hAnsiTheme="minorHAnsi"/>
          <w:sz w:val="22"/>
          <w:szCs w:val="22"/>
        </w:rPr>
        <w:t xml:space="preserve"> (Darrow </w:t>
      </w:r>
      <w:r w:rsidR="002E6C44">
        <w:rPr>
          <w:rFonts w:asciiTheme="minorHAnsi" w:hAnsiTheme="minorHAnsi"/>
          <w:sz w:val="22"/>
          <w:szCs w:val="22"/>
        </w:rPr>
        <w:t>&amp; Leopold/Loeb</w:t>
      </w:r>
      <w:r w:rsidRPr="00781591">
        <w:rPr>
          <w:rFonts w:asciiTheme="minorHAnsi" w:hAnsiTheme="minorHAnsi"/>
          <w:sz w:val="22"/>
          <w:szCs w:val="22"/>
        </w:rPr>
        <w:t xml:space="preserve">; prison reform and juvenile justice—debate between punishment or treatment as purpose; </w:t>
      </w:r>
      <w:r w:rsidR="00A70204">
        <w:rPr>
          <w:rFonts w:asciiTheme="minorHAnsi" w:hAnsiTheme="minorHAnsi"/>
          <w:sz w:val="22"/>
          <w:szCs w:val="22"/>
        </w:rPr>
        <w:t>from IL</w:t>
      </w:r>
      <w:r w:rsidRPr="00781591">
        <w:rPr>
          <w:rFonts w:asciiTheme="minorHAnsi" w:hAnsiTheme="minorHAnsi"/>
          <w:sz w:val="22"/>
          <w:szCs w:val="22"/>
        </w:rPr>
        <w:t xml:space="preserve"> </w:t>
      </w:r>
      <w:r w:rsidR="00A70204">
        <w:rPr>
          <w:rFonts w:asciiTheme="minorHAnsi" w:hAnsiTheme="minorHAnsi"/>
          <w:sz w:val="22"/>
          <w:szCs w:val="22"/>
        </w:rPr>
        <w:t>juvenile code to NY Children’s Court Act</w:t>
      </w:r>
      <w:r w:rsidRPr="00781591">
        <w:rPr>
          <w:rFonts w:asciiTheme="minorHAnsi" w:hAnsiTheme="minorHAnsi"/>
          <w:sz w:val="22"/>
          <w:szCs w:val="22"/>
        </w:rPr>
        <w:t>)</w:t>
      </w:r>
    </w:p>
    <w:sectPr w:rsidR="00C848AA" w:rsidRPr="0078159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9121B"/>
    <w:multiLevelType w:val="hybridMultilevel"/>
    <w:tmpl w:val="0A62C4E4"/>
    <w:lvl w:ilvl="0" w:tplc="9738C96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22E"/>
    <w:rsid w:val="00027D65"/>
    <w:rsid w:val="00284DD6"/>
    <w:rsid w:val="002D6346"/>
    <w:rsid w:val="002E6C44"/>
    <w:rsid w:val="003F31FC"/>
    <w:rsid w:val="00535726"/>
    <w:rsid w:val="00724357"/>
    <w:rsid w:val="00781591"/>
    <w:rsid w:val="00A12007"/>
    <w:rsid w:val="00A70204"/>
    <w:rsid w:val="00B92D9A"/>
    <w:rsid w:val="00C848AA"/>
    <w:rsid w:val="00DD31E8"/>
    <w:rsid w:val="00ED18EB"/>
    <w:rsid w:val="00ED2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History 416</vt:lpstr>
    </vt:vector>
  </TitlesOfParts>
  <Company>Hewlett-Packard</Company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History 416</dc:title>
  <dc:creator>KC</dc:creator>
  <cp:lastModifiedBy>KC</cp:lastModifiedBy>
  <cp:revision>3</cp:revision>
  <dcterms:created xsi:type="dcterms:W3CDTF">2013-01-31T21:57:00Z</dcterms:created>
  <dcterms:modified xsi:type="dcterms:W3CDTF">2013-02-04T04:16:00Z</dcterms:modified>
</cp:coreProperties>
</file>